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42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42205"/>
                    </a:xfrm>
                    <a:prstGeom prst="rect">
                      <a:avLst/>
                    </a:prstGeom>
                    <a:noFill/>
                  </pic:spPr>
                </pic:pic>
              </a:graphicData>
            </a:graphic>
          </wp:anchor>
        </w:drawing>
      </w:r>
    </w:p>
    <w:p>
      <w:pPr>
        <w:sectPr>
          <w:pgSz w:w="11900" w:h="16838" w:orient="portrait"/>
          <w:cols w:equalWidth="0" w:num="1">
            <w:col w:w="10940"/>
          </w:cols>
          <w:pgMar w:left="480" w:top="230" w:right="479" w:bottom="104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Yu Peter Michael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TH International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THCH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13" w:lineRule="exact"/>
        <w:rPr>
          <w:sz w:val="24"/>
          <w:szCs w:val="24"/>
          <w:color w:val="auto"/>
        </w:rPr>
      </w:pPr>
    </w:p>
    <w:p>
      <w:pPr>
        <w:sectPr>
          <w:pgSz w:w="11900" w:h="16838" w:orient="portrait"/>
          <w:cols w:equalWidth="0" w:num="2">
            <w:col w:w="4720" w:space="280"/>
            <w:col w:w="5940"/>
          </w:cols>
          <w:pgMar w:left="480" w:top="230" w:right="479" w:bottom="1045" w:gutter="0" w:footer="0" w:header="0"/>
          <w:type w:val="continuous"/>
        </w:sectPr>
      </w:pP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7"/>
              </w:rPr>
              <w:t>C/O CARTESIAN CAPITAL GROUP</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15TH FLOOR, 505 FIFTH AVE</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10017</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36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79" w:lineRule="exact"/>
        <w:rPr>
          <w:sz w:val="24"/>
          <w:szCs w:val="24"/>
          <w:color w:val="auto"/>
        </w:rPr>
      </w:pPr>
    </w:p>
    <w:p>
      <w:pPr>
        <w:sectPr>
          <w:pgSz w:w="11900" w:h="16838" w:orient="portrait"/>
          <w:cols w:equalWidth="0" w:num="3">
            <w:col w:w="4277" w:space="720"/>
            <w:col w:w="3003" w:space="260"/>
            <w:col w:w="2680"/>
          </w:cols>
          <w:pgMar w:left="480" w:top="230" w:right="479" w:bottom="1045"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w w:val="94"/>
              </w:rPr>
              <w:t>16,153,040</w:t>
            </w:r>
            <w:r>
              <w:rPr>
                <w:rFonts w:ascii="Times New Roman" w:cs="Times New Roman" w:eastAsia="Times New Roman" w:hAnsi="Times New Roman"/>
                <w:sz w:val="25"/>
                <w:szCs w:val="25"/>
                <w:color w:val="008000"/>
                <w:w w:val="94"/>
                <w:vertAlign w:val="superscript"/>
              </w:rPr>
              <w:t>(1)</w:t>
            </w:r>
          </w:p>
        </w:tc>
        <w:tc>
          <w:tcPr>
            <w:tcW w:w="1240" w:type="dxa"/>
            <w:vAlign w:val="bottom"/>
            <w:tcBorders>
              <w:bottom w:val="single" w:sz="8" w:color="2C2C2C"/>
            </w:tcBorders>
          </w:tcPr>
          <w:p>
            <w:pPr>
              <w:ind w:left="1060"/>
              <w:spacing w:after="0"/>
              <w:rPr>
                <w:sz w:val="20"/>
                <w:szCs w:val="20"/>
                <w:color w:val="auto"/>
              </w:rPr>
            </w:pPr>
            <w:r>
              <w:rPr>
                <w:rFonts w:ascii="Times New Roman" w:cs="Times New Roman" w:eastAsia="Times New Roman" w:hAnsi="Times New Roman"/>
                <w:sz w:val="20"/>
                <w:szCs w:val="20"/>
                <w:color w:val="0000FF"/>
              </w:rPr>
              <w:t>I</w:t>
            </w:r>
          </w:p>
        </w:tc>
        <w:tc>
          <w:tcPr>
            <w:tcW w:w="192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20" w:type="dxa"/>
            <w:vAlign w:val="bottom"/>
            <w:tcBorders>
              <w:top w:val="single" w:sz="8" w:color="2C2C2C"/>
            </w:tcBorders>
          </w:tcPr>
          <w:p>
            <w:pPr>
              <w:spacing w:after="0"/>
              <w:rPr>
                <w:sz w:val="22"/>
                <w:szCs w:val="22"/>
                <w:color w:val="auto"/>
              </w:rPr>
            </w:pPr>
          </w:p>
        </w:tc>
        <w:tc>
          <w:tcPr>
            <w:tcW w:w="5880" w:type="dxa"/>
            <w:vAlign w:val="bottom"/>
            <w:tcBorders>
              <w:top w:val="single" w:sz="8" w:color="2C2C2C"/>
            </w:tcBorders>
            <w:gridSpan w:val="5"/>
          </w:tcPr>
          <w:p>
            <w:pPr>
              <w:ind w:left="4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880" w:type="dxa"/>
            <w:vAlign w:val="bottom"/>
            <w:gridSpan w:val="5"/>
          </w:tcPr>
          <w:p>
            <w:pPr>
              <w:ind w:left="4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2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29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9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9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74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240" w:type="dxa"/>
            <w:vAlign w:val="bottom"/>
          </w:tcPr>
          <w:p>
            <w:pPr>
              <w:ind w:left="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A Convertible Notes</w:t>
            </w:r>
          </w:p>
        </w:tc>
        <w:tc>
          <w:tcPr>
            <w:tcW w:w="9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5"/>
                <w:szCs w:val="15"/>
                <w:color w:val="0000FF"/>
              </w:rPr>
              <w:t>06/28/2024</w:t>
            </w:r>
          </w:p>
        </w:tc>
        <w:tc>
          <w:tcPr>
            <w:tcW w:w="9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5"/>
                <w:szCs w:val="15"/>
                <w:color w:val="0000FF"/>
              </w:rPr>
              <w:t>09/30/2029</w:t>
            </w:r>
            <w:r>
              <w:rPr>
                <w:rFonts w:ascii="Times New Roman" w:cs="Times New Roman" w:eastAsia="Times New Roman" w:hAnsi="Times New Roman"/>
                <w:sz w:val="25"/>
                <w:szCs w:val="25"/>
                <w:color w:val="008000"/>
                <w:vertAlign w:val="superscript"/>
              </w:rPr>
              <w:t>(3)</w:t>
            </w:r>
          </w:p>
        </w:tc>
        <w:tc>
          <w:tcPr>
            <w:tcW w:w="1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240" w:type="dxa"/>
            <w:vAlign w:val="bottom"/>
            <w:tcBorders>
              <w:bottom w:val="single" w:sz="8" w:color="2C2C2C"/>
            </w:tcBorders>
          </w:tcPr>
          <w:p>
            <w:pPr>
              <w:ind w:left="20"/>
              <w:spacing w:after="0"/>
              <w:rPr>
                <w:sz w:val="20"/>
                <w:szCs w:val="20"/>
                <w:color w:val="auto"/>
              </w:rPr>
            </w:pPr>
            <w:r>
              <w:rPr>
                <w:rFonts w:ascii="Arial" w:cs="Arial" w:eastAsia="Arial" w:hAnsi="Arial"/>
                <w:sz w:val="20"/>
                <w:szCs w:val="20"/>
                <w:color w:val="auto"/>
                <w:w w:val="99"/>
              </w:rPr>
              <w:t>$</w:t>
            </w:r>
            <w:r>
              <w:rPr>
                <w:rFonts w:ascii="Times New Roman" w:cs="Times New Roman" w:eastAsia="Times New Roman" w:hAnsi="Times New Roman"/>
                <w:sz w:val="20"/>
                <w:szCs w:val="20"/>
                <w:color w:val="0000FF"/>
                <w:w w:val="99"/>
              </w:rPr>
              <w:t>20,000,000</w:t>
            </w:r>
            <w:r>
              <w:rPr>
                <w:rFonts w:ascii="Times New Roman" w:cs="Times New Roman" w:eastAsia="Times New Roman" w:hAnsi="Times New Roman"/>
                <w:sz w:val="25"/>
                <w:szCs w:val="25"/>
                <w:color w:val="008000"/>
                <w:w w:val="99"/>
                <w:vertAlign w:val="superscript"/>
              </w:rPr>
              <w:t>(4)</w:t>
            </w:r>
          </w:p>
        </w:tc>
        <w:tc>
          <w:tcPr>
            <w:tcW w:w="9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2.7822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A-1 Convertible Notes</w:t>
            </w:r>
          </w:p>
        </w:tc>
        <w:tc>
          <w:tcPr>
            <w:tcW w:w="9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5"/>
                <w:szCs w:val="15"/>
                <w:color w:val="0000FF"/>
              </w:rPr>
              <w:t>06/28/2024</w:t>
            </w:r>
          </w:p>
        </w:tc>
        <w:tc>
          <w:tcPr>
            <w:tcW w:w="9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5"/>
                <w:szCs w:val="15"/>
                <w:color w:val="0000FF"/>
              </w:rPr>
              <w:t>09/30/2029</w:t>
            </w:r>
            <w:r>
              <w:rPr>
                <w:rFonts w:ascii="Times New Roman" w:cs="Times New Roman" w:eastAsia="Times New Roman" w:hAnsi="Times New Roman"/>
                <w:sz w:val="25"/>
                <w:szCs w:val="25"/>
                <w:color w:val="008000"/>
                <w:vertAlign w:val="superscript"/>
              </w:rPr>
              <w:t>(3)</w:t>
            </w:r>
          </w:p>
        </w:tc>
        <w:tc>
          <w:tcPr>
            <w:tcW w:w="1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240" w:type="dxa"/>
            <w:vAlign w:val="bottom"/>
            <w:tcBorders>
              <w:bottom w:val="single" w:sz="8" w:color="2C2C2C"/>
            </w:tcBorders>
          </w:tcPr>
          <w:p>
            <w:pPr>
              <w:ind w:left="20"/>
              <w:spacing w:after="0"/>
              <w:rPr>
                <w:sz w:val="20"/>
                <w:szCs w:val="20"/>
                <w:color w:val="auto"/>
              </w:rPr>
            </w:pPr>
            <w:r>
              <w:rPr>
                <w:rFonts w:ascii="Arial" w:cs="Arial" w:eastAsia="Arial" w:hAnsi="Arial"/>
                <w:sz w:val="20"/>
                <w:szCs w:val="20"/>
                <w:color w:val="auto"/>
                <w:w w:val="99"/>
              </w:rPr>
              <w:t>$</w:t>
            </w:r>
            <w:r>
              <w:rPr>
                <w:rFonts w:ascii="Times New Roman" w:cs="Times New Roman" w:eastAsia="Times New Roman" w:hAnsi="Times New Roman"/>
                <w:sz w:val="20"/>
                <w:szCs w:val="20"/>
                <w:color w:val="0000FF"/>
                <w:w w:val="99"/>
              </w:rPr>
              <w:t>15,741,340</w:t>
            </w:r>
            <w:r>
              <w:rPr>
                <w:rFonts w:ascii="Times New Roman" w:cs="Times New Roman" w:eastAsia="Times New Roman" w:hAnsi="Times New Roman"/>
                <w:sz w:val="25"/>
                <w:szCs w:val="25"/>
                <w:color w:val="008000"/>
                <w:w w:val="99"/>
                <w:vertAlign w:val="superscript"/>
              </w:rPr>
              <w:t>(5)</w:t>
            </w:r>
          </w:p>
        </w:tc>
        <w:tc>
          <w:tcPr>
            <w:tcW w:w="9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2.7822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3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Including (i) 11,440,400 ordinary shares held by Pangaea Two Acquisition Holdings XXIIA Limited ("XXIIA"), (ii) 2,063,983 ordinary shares held by Pangaea Three Acquisition Holdings IV, Limited ("Holdings IV"), (iii) 1,238,203 ordinary shares held by Pangaea Two Acquisition Holdings XXIII, Ltd., (iv) 968,077 ordinary shares held by Pangaea Two, LP, (v) 420,311 ordinary shares held by Pangaea Two Parallel, LP, (vi) 10,744 ordinary shares held by Pangaea Two Management, LP, (vii) 4,177 ordinary shares held by Pangaea Two GP, LP, and (viii) 7,145 ordinary shares held by Pangaea Two Parallel LP.</w:t>
      </w:r>
    </w:p>
    <w:p>
      <w:pPr>
        <w:spacing w:after="0" w:line="33" w:lineRule="exact"/>
        <w:rPr>
          <w:rFonts w:ascii="Times New Roman" w:cs="Times New Roman" w:eastAsia="Times New Roman" w:hAnsi="Times New Roman"/>
          <w:sz w:val="15"/>
          <w:szCs w:val="15"/>
          <w:color w:val="008000"/>
        </w:rPr>
      </w:pPr>
    </w:p>
    <w:p>
      <w:pPr>
        <w:ind w:left="40" w:right="6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the managing partner of Cartesian Capital Group, LLC, which is the sole and managing member of Pangaea Two Admin GP, LLC and Pangaea Three Global GP, LLC, and Pangaea Two Parallel LP. XXIIA and Pangaea Two Acquisition Holdings XXIII, Ltd are controlled by Pangaea Two, LP. The general partner of Pangaea Two, LP and Pangaea Two Parallel, LP is Pangaea Two GP, LP. The general partner of Pangaea Two GP, LP and Pangaea Two Management, LP is Pangaea Two Admin GP, LLC. Holdings IV is controlled by Pangaea Three-B, LP. Pangaea Three GP, LP is the general partner of Pangaea Three-B, LP. Pangaea Three Global GP, LLC is the general partner of Pangaea Three GP, LP.</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the maturity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Including two Series A Convertible Notes in the aggregate principal amount of $10,000,000 each issued to and acquired by Holdings IV and XXIIA.</w:t>
      </w:r>
    </w:p>
    <w:p>
      <w:pPr>
        <w:spacing w:after="0" w:line="52" w:lineRule="exact"/>
        <w:rPr>
          <w:rFonts w:ascii="Times New Roman" w:cs="Times New Roman" w:eastAsia="Times New Roman" w:hAnsi="Times New Roman"/>
          <w:sz w:val="15"/>
          <w:szCs w:val="15"/>
          <w:color w:val="008000"/>
        </w:rPr>
      </w:pPr>
    </w:p>
    <w:p>
      <w:pPr>
        <w:ind w:left="40" w:right="1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Including one Series A-1 Convertible Note issued to and acquired by Holdings IV in the aggregate principal amount of $741,340 and one Series A-1 Convertible Note issued to and acquired by Holdings IV in the aggregate principal amount of $15,000,000.</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Yu Peter Michael</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04/03/2026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0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117349" TargetMode="External"/><Relationship Id="rId11" Type="http://schemas.openxmlformats.org/officeDocument/2006/relationships/hyperlink" Target="http://www.sec.gov/cgi-bin/browse-edgar?action=getcompany&amp;CIK=0001877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2026-04-03T07:27:30Z</dcterms:created>
  <dcterms:modified xsi:type="dcterms:W3CDTF">2026-04-03T07:27:30Z</dcterms:modified>
</cp:coreProperties>
</file>