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805-6k_thinter.htm"/>
      <w:bookmarkStart w:id="1" w:name="ksea03048056k_thinte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001-4151</w:t>
      </w:r>
      <w:r>
        <w:rPr>
          <w:rFonts w:ascii="Times New Roman;Times;Serif" w:hAnsi="Times New Roman;Times;Serif"/>
          <w:b w:val="false"/>
          <w:i w:val="false"/>
          <w:caps w:val="false"/>
          <w:smallCaps w:val="false"/>
          <w:sz w:val="20"/>
        </w:rPr>
        <w:t>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2501 Central Plaza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 Huangpi North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 200003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+86-021-6136-6616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Issuance of Second Tranche of Senior Secured Convertible Notes</w:t>
      </w:r>
    </w:p>
    <w:p>
      <w:pPr>
        <w:pStyle w:val="TextBody"/>
        <w:bidi w:val="0"/>
        <w:spacing w:before="0" w:after="0"/>
        <w:ind w:left="139"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 International Limited (“Tims China” or the “Company”) announced the closing of the issuance of the second tranche of Senior Secured Convertible Notes due 2029 (the “Second Tranche of Additional Notes”) to Tim Hortons Restaurants International GmbH in an aggregate principal amount of US$14,539,026.00. The total proceeds, including the accrued interest, for the Second Tranche of Additional Notes are US$15 million. Upon issuance, the Second Tranche of Additional Notes was consolidated and formed a single series with, and ranks pari passu with, the Company’s existing floating rate senior secured convertible notes due 2029 (the “Original Notes”). The Company expects to issue two more tranches of additional notes, subject to the satisfaction of their respective closing conditions, which, upon their respective issuances, will also be consolidated and form a single series with the Original Notes and the Second Tranche of Additional Notes, with the final tranche expected to be issued in the first quarter of 2027.</w:t>
      </w:r>
    </w:p>
    <w:p>
      <w:pPr>
        <w:pStyle w:val="TextBody"/>
        <w:bidi w:val="0"/>
        <w:spacing w:before="0" w:after="0"/>
        <w:ind w:left="139" w:right="0" w:firstLine="71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1"/>
        <w:gridCol w:w="60"/>
        <w:gridCol w:w="8624"/>
      </w:tblGrid>
      <w:tr>
        <w:trPr/>
        <w:tc>
          <w:tcPr>
            <w:tcW w:w="1521" w:type="dxa"/>
            <w:tcBorders>
              <w:bottom w:val="single" w:sz="12" w:space="0" w:color="000000"/>
            </w:tcBorders>
            <w:vAlign w:val="center"/>
          </w:tcPr>
          <w:p>
            <w:pPr>
              <w:pStyle w:val="TableContents"/>
              <w:bidi w:val="0"/>
              <w:spacing w:before="0" w:after="283"/>
              <w:jc w:val="left"/>
              <w:rPr/>
            </w:pPr>
            <w:r>
              <w:rPr>
                <w:b/>
              </w:rPr>
              <w:t>Exhibit</w:t>
            </w:r>
            <w:r>
              <w:rPr/>
              <w:t xml:space="preserve"> </w:t>
            </w:r>
            <w:r>
              <w:rPr>
                <w:b/>
              </w:rPr>
              <w:t>Number</w:t>
            </w:r>
          </w:p>
        </w:tc>
        <w:tc>
          <w:tcPr>
            <w:tcW w:w="60" w:type="dxa"/>
            <w:tcBorders/>
            <w:tcMar>
              <w:bottom w:w="0" w:type="dxa"/>
            </w:tcMar>
            <w:vAlign w:val="center"/>
          </w:tcPr>
          <w:p>
            <w:pPr>
              <w:pStyle w:val="TableContents"/>
              <w:bidi w:val="0"/>
              <w:spacing w:before="0" w:after="283"/>
              <w:jc w:val="left"/>
              <w:rPr/>
            </w:pPr>
            <w:r>
              <w:rPr/>
              <w:t> </w:t>
            </w:r>
          </w:p>
        </w:tc>
        <w:tc>
          <w:tcPr>
            <w:tcW w:w="8624" w:type="dxa"/>
            <w:tcBorders>
              <w:bottom w:val="single" w:sz="12" w:space="0" w:color="000000"/>
            </w:tcBorders>
            <w:vAlign w:val="center"/>
          </w:tcPr>
          <w:p>
            <w:pPr>
              <w:pStyle w:val="TableContents"/>
              <w:bidi w:val="0"/>
              <w:spacing w:before="0" w:after="283"/>
              <w:jc w:val="left"/>
              <w:rPr>
                <w:b/>
                <w:sz w:val="20"/>
              </w:rPr>
            </w:pPr>
            <w:r>
              <w:rPr>
                <w:b/>
                <w:sz w:val="20"/>
              </w:rPr>
              <w:t>Exhibit Title</w:t>
            </w:r>
          </w:p>
        </w:tc>
      </w:tr>
      <w:tr>
        <w:trPr/>
        <w:tc>
          <w:tcPr>
            <w:tcW w:w="15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24"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Indenture (incorporated by reference to Exhibit 10.1 to the Form 6-K (File No. 001-41516), filed with the SEC on December 3, 2025)</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75"/>
        <w:gridCol w:w="2210"/>
      </w:tblGrid>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b/>
                <w:sz w:val="20"/>
              </w:rPr>
            </w:pPr>
            <w:r>
              <w:rPr>
                <w:b/>
                <w:sz w:val="20"/>
              </w:rPr>
              <w:t>TH International Limited</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Kwok Wah Cheung</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Kwok Wah Cheung</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Form 6-K]</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77333/000121390025117545/ea026783001ex10-1_thinte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345</Words>
  <Characters>1886</Characters>
  <CharactersWithSpaces>2250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